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03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45"/>
        <w:gridCol w:w="3794"/>
      </w:tblGrid>
      <w:tr>
        <w:tblPrEx/>
        <w:trPr>
          <w:trHeight w:val="141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ind w:left="-142"/>
              <w:jc w:val="center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2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 постановлению администрации города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от______________ № ______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 муниципальной программе «Совершенствование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управления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contextualSpacing/>
              <w:jc w:val="both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и реализация национальной политики в городе Барнауле»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</w:tbl>
    <w:p>
      <w:pPr>
        <w:pStyle w:val="885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885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ПАСПОРТ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885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подпрограммы 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885"/>
        <w:ind w:left="-142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</w:t>
      </w:r>
      <w:r>
        <w:rPr>
          <w:rFonts w:ascii="PT Astra Serif" w:hAnsi="PT Astra Serif"/>
          <w:sz w:val="28"/>
          <w:szCs w:val="28"/>
        </w:rPr>
        <w:t xml:space="preserve">Совершенствование кадрового обеспечения муниципального управления </w:t>
      </w:r>
      <w:r>
        <w:rPr>
          <w:rFonts w:ascii="PT Astra Serif" w:hAnsi="PT Astra Serif"/>
          <w:sz w:val="28"/>
          <w:szCs w:val="28"/>
        </w:rPr>
        <w:br w:type="textWrapping" w:clear="all"/>
      </w:r>
      <w:r>
        <w:rPr>
          <w:rFonts w:ascii="PT Astra Serif" w:hAnsi="PT Astra Serif"/>
          <w:sz w:val="28"/>
          <w:szCs w:val="28"/>
        </w:rPr>
        <w:t xml:space="preserve">в городе Барнауле</w:t>
      </w:r>
      <w:r>
        <w:rPr>
          <w:rFonts w:ascii="PT Astra Serif" w:hAnsi="PT Astra Serif"/>
          <w:sz w:val="28"/>
          <w:szCs w:val="28"/>
        </w:rPr>
        <w:t xml:space="preserve">»</w:t>
      </w:r>
      <w:r>
        <w:rPr>
          <w:rFonts w:ascii="PT Astra Serif" w:hAnsi="PT Astra Serif"/>
          <w:sz w:val="28"/>
          <w:szCs w:val="28"/>
        </w:rPr>
        <w:t xml:space="preserve"> (далее – Подпрограмма)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885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tbl>
      <w:tblPr>
        <w:tblW w:w="893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127"/>
        <w:gridCol w:w="6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ind w:right="-108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Соисполнитель Программы (ответственный исполнитель Подпрограммы</w:t>
            </w:r>
            <w:r>
              <w:rPr>
                <w:rFonts w:ascii="PT Astra Serif" w:hAnsi="PT Astra Serif"/>
                <w:sz w:val="28"/>
                <w:szCs w:val="28"/>
              </w:rPr>
              <w:t xml:space="preserve">)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Комитет по кадрам и муниципальной службе администрации города Барнаула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56"/>
        </w:trPr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Участники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Органы администрации города Барнаула;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иные органы местного самоуправления города Барнаула;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избирательная комиссия муниципального образования города Барнаула (до дня внесения в единый государственный реестр юридических лиц записи о ее ликвидации в соответствии с </w:t>
            </w:r>
            <w:r>
              <w:rPr>
                <w:rFonts w:ascii="PT Astra Serif" w:hAnsi="PT Astra Serif"/>
                <w:sz w:val="28"/>
                <w:szCs w:val="28"/>
              </w:rPr>
              <w:fldChar w:fldCharType="begin"/>
            </w:r>
            <w:r>
              <w:rPr>
                <w:rFonts w:ascii="PT Astra Serif" w:hAnsi="PT Astra Serif"/>
                <w:sz w:val="28"/>
                <w:szCs w:val="28"/>
              </w:rPr>
              <w:instrText xml:space="preserve"> HYPERLINK "consultantplus://offline/ref=3CF4707F8F8232BE03CE5AE09E90517D4C92718EA73D7566CBF04492D6BF0738E423FFA11951265FAC2843F263771DBA5BoBA" \h </w:instrText>
            </w:r>
            <w:r>
              <w:rPr>
                <w:rFonts w:ascii="PT Astra Serif" w:hAnsi="PT Astra Serif"/>
                <w:sz w:val="28"/>
                <w:szCs w:val="28"/>
              </w:rPr>
              <w:fldChar w:fldCharType="separate"/>
            </w:r>
            <w:r>
              <w:rPr>
                <w:rFonts w:ascii="PT Astra Serif" w:hAnsi="PT Astra Serif"/>
                <w:sz w:val="28"/>
                <w:szCs w:val="28"/>
              </w:rPr>
              <w:t xml:space="preserve">решением</w:t>
            </w:r>
            <w:r>
              <w:rPr>
                <w:rFonts w:ascii="PT Astra Serif" w:hAnsi="PT Astra Serif"/>
                <w:sz w:val="28"/>
                <w:szCs w:val="28"/>
              </w:rPr>
              <w:fldChar w:fldCharType="end"/>
            </w:r>
            <w:r>
              <w:rPr>
                <w:rFonts w:ascii="PT Astra Serif" w:hAnsi="PT Astra Serif"/>
                <w:sz w:val="28"/>
                <w:szCs w:val="28"/>
              </w:rPr>
              <w:t xml:space="preserve"> Барнаульской городской Думы от 17.06.2022 №934);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Счетная палата города Барнаула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8"/>
        </w:trPr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Цель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Повышение эффективности деятельности органов местного самоуправления города Барнаула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Задачи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both"/>
              <w:tabs>
                <w:tab w:val="left" w:pos="260" w:leader="none"/>
                <w:tab w:val="left" w:pos="443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Совершенствование системы поиска (привлечения) кандидатов на муниципальную службу города Барнаула;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  <w:p>
            <w:pPr>
              <w:pStyle w:val="885"/>
              <w:contextualSpacing/>
              <w:jc w:val="both"/>
              <w:tabs>
                <w:tab w:val="left" w:pos="260" w:leader="none"/>
                <w:tab w:val="left" w:pos="443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создание условий для адаптации граждан, впервые поступивших на муниципальную службу, обеспечение целенаправленного профессионального развития муниципальных служащих и работников органов местного самоуправления города Барнаула;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  <w:p>
            <w:pPr>
              <w:pStyle w:val="885"/>
              <w:contextualSpacing/>
              <w:jc w:val="both"/>
              <w:tabs>
                <w:tab w:val="left" w:pos="260" w:leader="none"/>
                <w:tab w:val="left" w:pos="443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внедрение эффективных технологий кадровой работы, реализация здоровьесбе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регающих технологий 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в органах местного самоуправления города Барнаула;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  <w:p>
            <w:pPr>
              <w:pStyle w:val="885"/>
              <w:contextualSpacing/>
              <w:jc w:val="both"/>
              <w:tabs>
                <w:tab w:val="left" w:pos="260" w:leader="none"/>
                <w:tab w:val="left" w:pos="443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выстраивание эффективной работы </w:t>
              <w:br w:type="textWrapping" w:clear="all"/>
              <w:t xml:space="preserve">по противодействию коррупции, обеспечение открытости муниципальной службы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Перечень мероприятий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PT Astra Serif" w:hAnsi="PT Astra Serif" w:eastAsia="Calibri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Мероприятия Подпрограммы представлены </w:t>
              <w:br w:type="textWrapping" w:clear="all"/>
              <w:t xml:space="preserve">в приложении 6 к Программе</w:t>
            </w:r>
            <w:r>
              <w:rPr>
                <w:rFonts w:ascii="PT Astra Serif" w:hAnsi="PT Astra Serif" w:eastAsia="Calibri"/>
                <w:sz w:val="28"/>
                <w:szCs w:val="28"/>
              </w:rPr>
            </w:r>
            <w:r>
              <w:rPr>
                <w:rFonts w:ascii="PT Astra Serif" w:hAnsi="PT Astra Serif" w:eastAsia="Calibri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Показатели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both"/>
              <w:tabs>
                <w:tab w:val="left" w:pos="321" w:leader="none"/>
                <w:tab w:val="left" w:pos="472" w:leader="none"/>
              </w:tabs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Доля высших, главных и ведущих должностей муниципальной службы, на которые сформирован кадровый резерв, от общего количества высших, главных и ведущих должностей муниципальной службы;</w:t>
            </w:r>
            <w:r/>
          </w:p>
          <w:p>
            <w:pPr>
              <w:pStyle w:val="885"/>
              <w:contextualSpacing/>
              <w:jc w:val="both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доля муниципальных служащих, прошедших диспансеризацию, от общего количества должностей муниципальной службы;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  <w:p>
            <w:pPr>
              <w:pStyle w:val="885"/>
              <w:contextualSpacing/>
              <w:jc w:val="both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 w:eastAsia="Calibri"/>
                <w:sz w:val="28"/>
                <w:szCs w:val="28"/>
                <w:highlight w:val="white"/>
              </w:rPr>
            </w:pPr>
            <w:r>
              <w:rPr>
                <w:rFonts w:ascii="PT Astra Serif" w:hAnsi="PT Astra Serif" w:eastAsia="Calibri"/>
                <w:sz w:val="28"/>
                <w:szCs w:val="28"/>
                <w:highlight w:val="white"/>
                <w:lang w:eastAsia="en-US"/>
              </w:rPr>
              <w:t xml:space="preserve">доля муниципальных служащих, своевременно представивших сведения о доходах, о расходах, </w:t>
              <w:br w:type="textWrapping" w:clear="all"/>
              <w:t xml:space="preserve">об имуществе и обязательствах имущественного характера, от общего числа муниципальных служащих, обязанных представить данные сведения</w:t>
            </w:r>
            <w:r>
              <w:rPr>
                <w:rFonts w:ascii="PT Astra Serif" w:hAnsi="PT Astra Serif" w:eastAsia="Calibri"/>
                <w:sz w:val="28"/>
                <w:szCs w:val="28"/>
                <w:highlight w:val="white"/>
              </w:rPr>
            </w:r>
            <w:r>
              <w:rPr>
                <w:rFonts w:ascii="PT Astra Serif" w:hAnsi="PT Astra Serif" w:eastAsia="Calibri"/>
                <w:sz w:val="28"/>
                <w:szCs w:val="28"/>
                <w:highlight w:val="white"/>
              </w:rPr>
            </w:r>
          </w:p>
          <w:p>
            <w:pPr>
              <w:contextualSpacing/>
              <w:jc w:val="both"/>
              <w:tabs>
                <w:tab w:val="left" w:pos="321" w:leader="none"/>
                <w:tab w:val="left" w:pos="472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highlight w:val="none"/>
                <w:lang w:eastAsia="en-US"/>
              </w:rPr>
              <w:t xml:space="preserve">количе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  <w:lang w:eastAsia="en-US"/>
              </w:rPr>
              <w:t xml:space="preserve">с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  <w:lang w:eastAsia="en-US"/>
              </w:rPr>
              <w:t xml:space="preserve">тво органов местного самоуправления, в которых проведены плановые проверки соблюдения муниципальными служащими и гражданами, претендующими на замещение должностей муниципальной службы, обязанностей, ограничений и запретов, связанных с муниципальной службой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Сроки и этапы реализации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885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2020</w:t>
            </w:r>
            <w:r>
              <w:rPr>
                <w:rFonts w:ascii="PT Astra Serif" w:hAnsi="PT Astra Serif" w:eastAsia="Calibri"/>
                <w:sz w:val="28"/>
                <w:szCs w:val="28"/>
              </w:rPr>
              <w:t xml:space="preserve"> –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2028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годы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ind w:right="-108"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Объемы финансирования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Объем финансирования Подпрограммы за счет всех источников в 2020</w:t>
            </w:r>
            <w:r>
              <w:rPr>
                <w:rFonts w:ascii="PT Astra Serif" w:hAnsi="PT Astra Serif" w:eastAsia="Calibri"/>
                <w:sz w:val="28"/>
                <w:szCs w:val="28"/>
              </w:rPr>
              <w:t xml:space="preserve"> –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2028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годах составляет </w:t>
            </w:r>
            <w:r>
              <w:rPr>
                <w:rFonts w:ascii="PT Astra Serif" w:hAnsi="PT Astra Serif"/>
                <w:sz w:val="28"/>
                <w:szCs w:val="28"/>
              </w:rPr>
              <w:br w:type="textWrapping" w:clear="all"/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116</w:t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 15</w:t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8,71314</w:t>
            </w:r>
            <w:r>
              <w:rPr>
                <w:rFonts w:ascii="PT Astra Serif" w:hAnsi="PT Astra Serif"/>
                <w:sz w:val="28"/>
                <w:szCs w:val="28"/>
                <w:highlight w:val="white"/>
              </w:rPr>
              <w:t xml:space="preserve"> 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тыс. рублей, в том числе за счет средств бюджета города Барнаула: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2020 год – 8 377,8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2021 год – 8 915,1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2022 год – 8 817,2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2023 год – 9 394,1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2024 год – 10 131,8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2025 год – 11 865,81314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2026 год – 19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379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,70000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2027 год –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19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508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,60000 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2028 год – 19 768,60000 тыс.рублей.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Реализация ме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роприятий в рамках Подпрограммы </w:t>
              <w:br/>
              <w:t xml:space="preserve">в части финансирования из средств бюджета города Барнаула является расходным обязательством городского округа – города Барнаула Алтайского края. Объемы финансирования подлежат ежегодному уточнению в соответствии с решением </w:t>
            </w:r>
            <w:r>
              <w:rPr>
                <w:rFonts w:ascii="PT Astra Serif" w:hAnsi="PT Astra Serif" w:eastAsia="Calibri"/>
                <w:sz w:val="28"/>
                <w:szCs w:val="28"/>
              </w:rPr>
              <w:t xml:space="preserve">Барнаульской городской Думы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о бюджете города Барнаула </w:t>
              <w:br w:type="textWrapping" w:clear="all"/>
              <w:t xml:space="preserve">на очередной финансовый год и на плановый период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5"/>
              <w:contextualSpacing/>
              <w:tabs>
                <w:tab w:val="left" w:pos="0" w:leader="none"/>
              </w:tabs>
              <w:rPr>
                <w:rFonts w:ascii="PT Astra Serif" w:hAnsi="PT Astra Serif" w:eastAsia="Calibri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  <w:t xml:space="preserve">Ожидаемые результаты реализации Подпрограммы</w:t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  <w:r>
              <w:rPr>
                <w:rFonts w:ascii="PT Astra Serif" w:hAnsi="PT Astra Serif" w:eastAsia="Calibri"/>
                <w:sz w:val="28"/>
                <w:szCs w:val="28"/>
                <w:lang w:eastAsia="en-US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PT Astra Serif" w:hAnsi="PT Astra Serif" w:eastAsia="Calibri"/>
                <w:sz w:val="28"/>
                <w:szCs w:val="28"/>
              </w:rPr>
            </w:pPr>
            <w:r>
              <w:rPr>
                <w:rFonts w:ascii="PT Astra Serif" w:hAnsi="PT Astra Serif" w:eastAsia="Calibri"/>
                <w:sz w:val="28"/>
                <w:szCs w:val="28"/>
              </w:rPr>
              <w:t xml:space="preserve">Увеличение доли высших, главных и ведущих должностей муниципальной службы, на которые сформирован кадровый резерв, от общего количества высших, главных и ведущих должностей муниципальной службы, до 89</w:t>
            </w:r>
            <w:r>
              <w:rPr>
                <w:rFonts w:ascii="PT Astra Serif" w:hAnsi="PT Astra Serif" w:eastAsia="Calibri"/>
                <w:sz w:val="28"/>
                <w:szCs w:val="28"/>
              </w:rPr>
              <w:t xml:space="preserve">,0</w:t>
            </w:r>
            <w:r>
              <w:rPr>
                <w:rFonts w:ascii="PT Astra Serif" w:hAnsi="PT Astra Serif" w:eastAsia="Calibri"/>
                <w:sz w:val="28"/>
                <w:szCs w:val="28"/>
              </w:rPr>
              <w:t xml:space="preserve">%;</w:t>
            </w:r>
            <w:r>
              <w:rPr>
                <w:rFonts w:ascii="PT Astra Serif" w:hAnsi="PT Astra Serif" w:eastAsia="Calibri"/>
                <w:sz w:val="28"/>
                <w:szCs w:val="28"/>
              </w:rPr>
            </w:r>
            <w:r>
              <w:rPr>
                <w:rFonts w:ascii="PT Astra Serif" w:hAnsi="PT Astra Serif" w:eastAsia="Calibri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 w:eastAsia="Calibri"/>
                <w:sz w:val="28"/>
                <w:szCs w:val="28"/>
              </w:rPr>
            </w:pPr>
            <w:r>
              <w:rPr>
                <w:rFonts w:ascii="PT Astra Serif" w:hAnsi="PT Astra Serif" w:eastAsia="Calibri"/>
                <w:sz w:val="28"/>
                <w:szCs w:val="28"/>
              </w:rPr>
              <w:t xml:space="preserve">обеспечение ежегодного прохождения диспансеризации не менее 85</w:t>
            </w:r>
            <w:r>
              <w:rPr>
                <w:rFonts w:ascii="PT Astra Serif" w:hAnsi="PT Astra Serif" w:eastAsia="Calibri"/>
                <w:sz w:val="28"/>
                <w:szCs w:val="28"/>
              </w:rPr>
              <w:t xml:space="preserve">,0</w:t>
            </w:r>
            <w:r>
              <w:rPr>
                <w:rFonts w:ascii="PT Astra Serif" w:hAnsi="PT Astra Serif" w:eastAsia="Calibri"/>
                <w:sz w:val="28"/>
                <w:szCs w:val="28"/>
              </w:rPr>
              <w:t xml:space="preserve">% муниципальных служащих, от общего количества должностей муниципальной службы;</w:t>
            </w:r>
            <w:r>
              <w:rPr>
                <w:rFonts w:ascii="PT Astra Serif" w:hAnsi="PT Astra Serif" w:eastAsia="Calibri"/>
                <w:sz w:val="28"/>
                <w:szCs w:val="28"/>
              </w:rPr>
            </w:r>
            <w:r>
              <w:rPr>
                <w:rFonts w:ascii="PT Astra Serif" w:hAnsi="PT Astra Serif" w:eastAsia="Calibri"/>
                <w:sz w:val="28"/>
                <w:szCs w:val="28"/>
              </w:rPr>
            </w:r>
          </w:p>
          <w:p>
            <w:pPr>
              <w:pStyle w:val="885"/>
              <w:jc w:val="both"/>
              <w:rPr>
                <w:rFonts w:ascii="PT Astra Serif" w:hAnsi="PT Astra Serif" w:eastAsia="Calibri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о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беспечение проведения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 плановых проверок соблюдения муниципальными служащими и гражданами, претенду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ющими на замещение должностей муниципальной службы, обязанностей, ограничений и запретов, связанных с муниципальной службой, 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н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е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м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е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н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е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е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ч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е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м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в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  <w:t xml:space="preserve">4 органах местного самоуправления ежегодно</w:t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eastAsia="Calibri"/>
                <w:sz w:val="28"/>
                <w:szCs w:val="28"/>
                <w:highlight w:val="none"/>
              </w:rPr>
            </w:r>
          </w:p>
        </w:tc>
      </w:tr>
    </w:tbl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98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ru-RU"/>
      </w:rPr>
      <w:t xml:space="preserve">3</w:t>
    </w:r>
    <w:r>
      <w:rPr>
        <w:sz w:val="28"/>
        <w:szCs w:val="28"/>
      </w:rPr>
      <w:fldChar w:fldCharType="end"/>
    </w:r>
    <w:r>
      <w:rPr>
        <w:sz w:val="28"/>
        <w:szCs w:val="28"/>
      </w:rPr>
    </w:r>
    <w:r>
      <w:rPr>
        <w:sz w:val="28"/>
        <w:szCs w:val="28"/>
      </w:rPr>
    </w:r>
  </w:p>
  <w:p>
    <w:pPr>
      <w:pStyle w:val="8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3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63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783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03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23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43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63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383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5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4"/>
  </w:num>
  <w:num w:numId="9">
    <w:abstractNumId w:val="3"/>
  </w:num>
  <w:num w:numId="10">
    <w:abstractNumId w:val="8"/>
  </w:num>
  <w:num w:numId="11">
    <w:abstractNumId w:val="5"/>
  </w:num>
  <w:num w:numId="12">
    <w:abstractNumId w:val="16"/>
  </w:num>
  <w:num w:numId="13">
    <w:abstractNumId w:val="2"/>
  </w:num>
  <w:num w:numId="14">
    <w:abstractNumId w:val="11"/>
  </w:num>
  <w:num w:numId="15">
    <w:abstractNumId w:val="6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5"/>
    <w:next w:val="885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5"/>
    <w:next w:val="885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5"/>
    <w:next w:val="885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5"/>
    <w:next w:val="885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5"/>
    <w:next w:val="885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885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before="0" w:after="0" w:line="240" w:lineRule="auto"/>
    </w:pPr>
  </w:style>
  <w:style w:type="paragraph" w:styleId="728">
    <w:name w:val="Title"/>
    <w:basedOn w:val="885"/>
    <w:next w:val="885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basedOn w:val="885"/>
    <w:next w:val="885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basedOn w:val="885"/>
    <w:next w:val="885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5"/>
    <w:next w:val="885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basedOn w:val="885"/>
    <w:link w:val="9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37">
    <w:name w:val="Footer"/>
    <w:basedOn w:val="885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>
    <w:name w:val="Footer Char"/>
    <w:link w:val="737"/>
    <w:uiPriority w:val="99"/>
  </w:style>
  <w:style w:type="paragraph" w:styleId="739">
    <w:name w:val="Caption"/>
    <w:basedOn w:val="885"/>
    <w:next w:val="885"/>
    <w:link w:val="7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link w:val="739"/>
    <w:uiPriority w:val="35"/>
    <w:rPr>
      <w:b/>
      <w:bCs/>
      <w:color w:val="4f81bd" w:themeColor="accent1"/>
      <w:sz w:val="18"/>
      <w:szCs w:val="18"/>
    </w:rPr>
  </w:style>
  <w:style w:type="table" w:styleId="74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next w:val="885"/>
    <w:link w:val="885"/>
    <w:qFormat/>
    <w:rPr>
      <w:rFonts w:eastAsia="Times New Roman"/>
      <w:sz w:val="24"/>
      <w:szCs w:val="24"/>
      <w:lang w:val="ru-RU" w:eastAsia="ru-RU" w:bidi="ar-SA"/>
    </w:rPr>
  </w:style>
  <w:style w:type="paragraph" w:styleId="886">
    <w:name w:val="Заголовок 1"/>
    <w:basedOn w:val="885"/>
    <w:next w:val="885"/>
    <w:link w:val="890"/>
    <w:uiPriority w:val="99"/>
    <w:qFormat/>
    <w:pPr>
      <w:jc w:val="center"/>
      <w:spacing w:before="108" w:after="108"/>
      <w:outlineLvl w:val="0"/>
    </w:pPr>
    <w:rPr>
      <w:rFonts w:ascii="Cambria" w:hAnsi="Cambria" w:eastAsia="Calibri"/>
      <w:b/>
      <w:bCs/>
      <w:sz w:val="32"/>
      <w:szCs w:val="32"/>
      <w:lang w:val="en-US" w:eastAsia="en-US"/>
    </w:rPr>
  </w:style>
  <w:style w:type="character" w:styleId="887">
    <w:name w:val="Основной шрифт абзаца"/>
    <w:next w:val="887"/>
    <w:link w:val="885"/>
    <w:uiPriority w:val="1"/>
    <w:unhideWhenUsed/>
  </w:style>
  <w:style w:type="table" w:styleId="888">
    <w:name w:val="Обычная таблица"/>
    <w:next w:val="888"/>
    <w:link w:val="885"/>
    <w:uiPriority w:val="99"/>
    <w:semiHidden/>
    <w:unhideWhenUsed/>
    <w:qFormat/>
    <w:tblPr/>
  </w:style>
  <w:style w:type="numbering" w:styleId="889">
    <w:name w:val="Нет списка"/>
    <w:next w:val="889"/>
    <w:link w:val="885"/>
    <w:uiPriority w:val="99"/>
    <w:semiHidden/>
    <w:unhideWhenUsed/>
  </w:style>
  <w:style w:type="character" w:styleId="890">
    <w:name w:val="Заголовок 1 Знак"/>
    <w:next w:val="890"/>
    <w:link w:val="886"/>
    <w:uiPriority w:val="99"/>
    <w:rPr>
      <w:rFonts w:ascii="Cambria" w:hAnsi="Cambria" w:cs="Times New Roman"/>
      <w:b/>
      <w:bCs/>
      <w:sz w:val="32"/>
      <w:szCs w:val="32"/>
    </w:rPr>
  </w:style>
  <w:style w:type="paragraph" w:styleId="891">
    <w:name w:val="ConsPlusCell"/>
    <w:next w:val="891"/>
    <w:link w:val="885"/>
    <w:uiPriority w:val="99"/>
    <w:rPr>
      <w:rFonts w:eastAsia="Times New Roman"/>
      <w:sz w:val="28"/>
      <w:szCs w:val="28"/>
      <w:lang w:val="ru-RU" w:eastAsia="ru-RU" w:bidi="ar-SA"/>
    </w:rPr>
  </w:style>
  <w:style w:type="paragraph" w:styleId="892">
    <w:name w:val="Абзац списка"/>
    <w:basedOn w:val="885"/>
    <w:next w:val="892"/>
    <w:link w:val="885"/>
    <w:uiPriority w:val="99"/>
    <w:qFormat/>
    <w:pPr>
      <w:contextualSpacing/>
      <w:ind w:left="720"/>
    </w:pPr>
    <w:rPr>
      <w:rFonts w:eastAsia="Calibri"/>
      <w:sz w:val="28"/>
      <w:szCs w:val="28"/>
      <w:lang w:eastAsia="en-US"/>
    </w:rPr>
  </w:style>
  <w:style w:type="character" w:styleId="893">
    <w:name w:val="Гиперссылка"/>
    <w:next w:val="893"/>
    <w:link w:val="885"/>
    <w:uiPriority w:val="99"/>
    <w:rPr>
      <w:rFonts w:cs="Times New Roman"/>
      <w:color w:val="0000ff"/>
      <w:u w:val="single"/>
    </w:rPr>
  </w:style>
  <w:style w:type="paragraph" w:styleId="894">
    <w:name w:val="Основной текст с отступом"/>
    <w:basedOn w:val="885"/>
    <w:next w:val="894"/>
    <w:link w:val="895"/>
    <w:uiPriority w:val="99"/>
    <w:pPr>
      <w:ind w:left="283"/>
      <w:spacing w:after="120"/>
    </w:pPr>
    <w:rPr>
      <w:lang w:val="en-US"/>
    </w:rPr>
  </w:style>
  <w:style w:type="character" w:styleId="895">
    <w:name w:val="Основной текст с отступом Знак"/>
    <w:next w:val="895"/>
    <w:link w:val="894"/>
    <w:uiPriority w:val="99"/>
    <w:rPr>
      <w:rFonts w:eastAsia="Times New Roman" w:cs="Times New Roman"/>
      <w:sz w:val="24"/>
      <w:szCs w:val="24"/>
      <w:lang w:eastAsia="ru-RU"/>
    </w:rPr>
  </w:style>
  <w:style w:type="paragraph" w:styleId="896">
    <w:name w:val="Верхний колонтитул"/>
    <w:basedOn w:val="885"/>
    <w:next w:val="896"/>
    <w:link w:val="897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97">
    <w:name w:val="Верхний колонтитул Знак"/>
    <w:next w:val="897"/>
    <w:link w:val="896"/>
    <w:uiPriority w:val="99"/>
    <w:rPr>
      <w:rFonts w:eastAsia="Times New Roman" w:cs="Times New Roman"/>
      <w:sz w:val="24"/>
      <w:szCs w:val="24"/>
      <w:lang w:eastAsia="ru-RU"/>
    </w:rPr>
  </w:style>
  <w:style w:type="paragraph" w:styleId="898">
    <w:name w:val="Нижний колонтитул"/>
    <w:basedOn w:val="885"/>
    <w:next w:val="898"/>
    <w:link w:val="899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99">
    <w:name w:val="Нижний колонтитул Знак"/>
    <w:next w:val="899"/>
    <w:link w:val="898"/>
    <w:uiPriority w:val="99"/>
    <w:rPr>
      <w:rFonts w:eastAsia="Times New Roman" w:cs="Times New Roman"/>
      <w:sz w:val="24"/>
      <w:szCs w:val="24"/>
      <w:lang w:eastAsia="ru-RU"/>
    </w:rPr>
  </w:style>
  <w:style w:type="paragraph" w:styleId="900">
    <w:name w:val="Прижатый влево"/>
    <w:basedOn w:val="885"/>
    <w:next w:val="885"/>
    <w:link w:val="885"/>
    <w:uiPriority w:val="99"/>
    <w:rPr>
      <w:rFonts w:ascii="Arial" w:hAnsi="Arial" w:eastAsia="Calibri" w:cs="Arial"/>
      <w:lang w:eastAsia="en-US"/>
    </w:rPr>
  </w:style>
  <w:style w:type="character" w:styleId="901">
    <w:name w:val="Header Char"/>
    <w:next w:val="901"/>
    <w:link w:val="885"/>
    <w:uiPriority w:val="99"/>
    <w:rPr>
      <w:rFonts w:eastAsia="Times New Roman" w:cs="Times New Roman"/>
      <w:sz w:val="24"/>
      <w:szCs w:val="24"/>
      <w:lang w:val="ru-RU" w:eastAsia="ru-RU" w:bidi="ar-SA"/>
    </w:rPr>
  </w:style>
  <w:style w:type="paragraph" w:styleId="902">
    <w:name w:val="Абзац списка1"/>
    <w:basedOn w:val="885"/>
    <w:next w:val="902"/>
    <w:link w:val="885"/>
    <w:uiPriority w:val="99"/>
    <w:pPr>
      <w:contextualSpacing/>
      <w:ind w:left="720"/>
    </w:pPr>
    <w:rPr>
      <w:rFonts w:eastAsia="Calibri"/>
    </w:rPr>
  </w:style>
  <w:style w:type="paragraph" w:styleId="903">
    <w:name w:val="ConsPlusNormal"/>
    <w:next w:val="903"/>
    <w:link w:val="885"/>
    <w:pPr>
      <w:widowControl w:val="off"/>
    </w:pPr>
    <w:rPr>
      <w:rFonts w:ascii="Arial" w:hAnsi="Arial" w:cs="Arial"/>
      <w:lang w:val="ru-RU" w:eastAsia="ru-RU" w:bidi="ar-SA"/>
    </w:rPr>
  </w:style>
  <w:style w:type="paragraph" w:styleId="904">
    <w:name w:val="s_13"/>
    <w:basedOn w:val="885"/>
    <w:next w:val="904"/>
    <w:link w:val="885"/>
    <w:uiPriority w:val="99"/>
    <w:pPr>
      <w:ind w:firstLine="720"/>
    </w:pPr>
    <w:rPr>
      <w:sz w:val="20"/>
      <w:szCs w:val="20"/>
    </w:rPr>
  </w:style>
  <w:style w:type="paragraph" w:styleId="905">
    <w:name w:val="Обычный (веб)"/>
    <w:basedOn w:val="885"/>
    <w:next w:val="905"/>
    <w:link w:val="885"/>
    <w:uiPriority w:val="99"/>
    <w:pPr>
      <w:spacing w:before="100" w:beforeAutospacing="1" w:after="100" w:afterAutospacing="1"/>
    </w:pPr>
  </w:style>
  <w:style w:type="paragraph" w:styleId="906">
    <w:name w:val="Нормальный (таблица)"/>
    <w:basedOn w:val="885"/>
    <w:next w:val="885"/>
    <w:link w:val="885"/>
    <w:uiPriority w:val="99"/>
    <w:pPr>
      <w:jc w:val="both"/>
      <w:widowControl w:val="off"/>
    </w:pPr>
    <w:rPr>
      <w:rFonts w:ascii="Arial" w:hAnsi="Arial" w:cs="Arial"/>
    </w:rPr>
  </w:style>
  <w:style w:type="paragraph" w:styleId="907">
    <w:name w:val="Текст выноски"/>
    <w:basedOn w:val="885"/>
    <w:next w:val="907"/>
    <w:link w:val="908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908">
    <w:name w:val="Текст выноски Знак"/>
    <w:next w:val="908"/>
    <w:link w:val="907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909">
    <w:name w:val="Знак примечания"/>
    <w:next w:val="909"/>
    <w:link w:val="885"/>
    <w:uiPriority w:val="99"/>
    <w:semiHidden/>
    <w:unhideWhenUsed/>
    <w:rPr>
      <w:sz w:val="16"/>
      <w:szCs w:val="16"/>
    </w:rPr>
  </w:style>
  <w:style w:type="paragraph" w:styleId="910">
    <w:name w:val="Текст примечания"/>
    <w:basedOn w:val="885"/>
    <w:next w:val="910"/>
    <w:link w:val="911"/>
    <w:uiPriority w:val="99"/>
    <w:semiHidden/>
    <w:unhideWhenUsed/>
    <w:rPr>
      <w:sz w:val="20"/>
      <w:szCs w:val="20"/>
      <w:lang w:val="en-US" w:eastAsia="en-US"/>
    </w:rPr>
  </w:style>
  <w:style w:type="character" w:styleId="911">
    <w:name w:val="Текст примечания Знак"/>
    <w:next w:val="911"/>
    <w:link w:val="910"/>
    <w:uiPriority w:val="99"/>
    <w:semiHidden/>
    <w:rPr>
      <w:rFonts w:eastAsia="Times New Roman"/>
    </w:rPr>
  </w:style>
  <w:style w:type="paragraph" w:styleId="912">
    <w:name w:val="Тема примечания"/>
    <w:basedOn w:val="910"/>
    <w:next w:val="910"/>
    <w:link w:val="913"/>
    <w:uiPriority w:val="99"/>
    <w:semiHidden/>
    <w:unhideWhenUsed/>
    <w:rPr>
      <w:b/>
      <w:bCs/>
    </w:rPr>
  </w:style>
  <w:style w:type="character" w:styleId="913">
    <w:name w:val="Тема примечания Знак"/>
    <w:next w:val="913"/>
    <w:link w:val="912"/>
    <w:uiPriority w:val="99"/>
    <w:semiHidden/>
    <w:rPr>
      <w:rFonts w:eastAsia="Times New Roman"/>
      <w:b/>
      <w:bCs/>
    </w:rPr>
  </w:style>
  <w:style w:type="paragraph" w:styleId="914">
    <w:name w:val="ConsPlusTitle"/>
    <w:next w:val="914"/>
    <w:link w:val="885"/>
    <w:pPr>
      <w:widowControl w:val="off"/>
    </w:pPr>
    <w:rPr>
      <w:rFonts w:eastAsia="Times New Roman"/>
      <w:b/>
      <w:sz w:val="28"/>
      <w:szCs w:val="22"/>
      <w:lang w:val="ru-RU" w:eastAsia="ru-RU" w:bidi="ar-SA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table" w:styleId="9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 г.Барнаула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berdova.yn</cp:lastModifiedBy>
  <cp:revision>101</cp:revision>
  <dcterms:created xsi:type="dcterms:W3CDTF">2021-01-13T02:44:00Z</dcterms:created>
  <dcterms:modified xsi:type="dcterms:W3CDTF">2025-12-22T03:28:20Z</dcterms:modified>
  <cp:version>983040</cp:version>
</cp:coreProperties>
</file>